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72" w:rsidRPr="00771372" w:rsidRDefault="00771372" w:rsidP="00771372">
      <w:pPr>
        <w:shd w:val="clear" w:color="auto" w:fill="D7EEFB"/>
        <w:spacing w:after="75" w:line="240" w:lineRule="auto"/>
        <w:outlineLvl w:val="0"/>
        <w:rPr>
          <w:rFonts w:ascii="Tahoma" w:eastAsia="Times New Roman" w:hAnsi="Tahoma" w:cs="Tahoma"/>
          <w:b/>
          <w:bCs/>
          <w:color w:val="4A4A4A"/>
          <w:kern w:val="36"/>
          <w:sz w:val="34"/>
          <w:szCs w:val="34"/>
        </w:rPr>
      </w:pPr>
      <w:r w:rsidRPr="00771372">
        <w:rPr>
          <w:rFonts w:ascii="Tahoma" w:eastAsia="Times New Roman" w:hAnsi="Tahoma" w:cs="Tahoma"/>
          <w:b/>
          <w:bCs/>
          <w:color w:val="4A4A4A"/>
          <w:kern w:val="36"/>
          <w:sz w:val="34"/>
          <w:szCs w:val="34"/>
        </w:rPr>
        <w:t>Emergency Contacts</w:t>
      </w:r>
      <w:r>
        <w:rPr>
          <w:rFonts w:ascii="Tahoma" w:eastAsia="Times New Roman" w:hAnsi="Tahoma" w:cs="Tahoma"/>
          <w:b/>
          <w:bCs/>
          <w:color w:val="4A4A4A"/>
          <w:kern w:val="36"/>
          <w:sz w:val="34"/>
          <w:szCs w:val="34"/>
        </w:rPr>
        <w:t xml:space="preserve"> Numbers:</w:t>
      </w:r>
      <w:r w:rsidR="00683ACD">
        <w:rPr>
          <w:rFonts w:ascii="Tahoma" w:eastAsia="Times New Roman" w:hAnsi="Tahoma" w:cs="Tahoma"/>
          <w:b/>
          <w:bCs/>
          <w:color w:val="4A4A4A"/>
          <w:kern w:val="36"/>
          <w:sz w:val="34"/>
          <w:szCs w:val="34"/>
        </w:rPr>
        <w:t xml:space="preserve"> for Chemical Hazards</w:t>
      </w:r>
      <w:bookmarkStart w:id="0" w:name="_GoBack"/>
      <w:bookmarkEnd w:id="0"/>
    </w:p>
    <w:p w:rsidR="00771372" w:rsidRPr="00771372" w:rsidRDefault="00771372" w:rsidP="0077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</w:p>
    <w:p w:rsidR="00771372" w:rsidRPr="00771372" w:rsidRDefault="00771372" w:rsidP="00771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1372" w:rsidRPr="00771372" w:rsidRDefault="00771372" w:rsidP="00771372">
      <w:pPr>
        <w:shd w:val="clear" w:color="auto" w:fill="D7EEFB"/>
        <w:spacing w:after="75" w:line="360" w:lineRule="atLeast"/>
        <w:outlineLvl w:val="2"/>
        <w:rPr>
          <w:rFonts w:ascii="Tahoma" w:eastAsia="Times New Roman" w:hAnsi="Tahoma" w:cs="Tahoma"/>
          <w:b/>
          <w:bCs/>
          <w:color w:val="8C4C2F"/>
          <w:sz w:val="23"/>
          <w:szCs w:val="23"/>
        </w:rPr>
      </w:pPr>
      <w:r w:rsidRPr="00771372">
        <w:rPr>
          <w:rFonts w:ascii="Tahoma" w:eastAsia="Times New Roman" w:hAnsi="Tahoma" w:cs="Tahoma"/>
          <w:b/>
          <w:bCs/>
          <w:color w:val="8C4C2F"/>
          <w:sz w:val="23"/>
          <w:szCs w:val="23"/>
        </w:rPr>
        <w:t>Critical Phone Numbers for Professionals and the General Public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4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American Association of Poison Control Centers</w:t>
        </w:r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1-800-222-1222 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  <w:r w:rsidRPr="0077137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(Staffed 24/7)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 xml:space="preserve"> phone number connects anyone in the US to </w:t>
      </w:r>
      <w:proofErr w:type="gramStart"/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their</w:t>
      </w:r>
      <w:proofErr w:type="gramEnd"/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 xml:space="preserve"> local poison center. </w:t>
      </w:r>
      <w:proofErr w:type="gramStart"/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All calls are answered by a medical professional, with the goal of providing immediate poison exposure management instructions</w:t>
      </w:r>
      <w:proofErr w:type="gramEnd"/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.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5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ASPCA National Animal Poison Control Center</w:t>
        </w:r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1-888-426-4435 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  <w:r w:rsidRPr="0077137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(Staffed 24/7)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 </w:t>
      </w:r>
      <w:proofErr w:type="gramStart"/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A</w:t>
      </w:r>
      <w:proofErr w:type="gramEnd"/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 xml:space="preserve"> fee may be charged per case. Allied with the University of Illinois College of Veterinary Medicine.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6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Centers for Disease Control / Agency for Toxic Substances Disease Registry</w:t>
        </w:r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1-770-488-7100 or 1-800-232-4636 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  <w:r w:rsidRPr="0077137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(Staffed 24/7)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 CDC's main emergency operations center.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7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CHEMTREC</w:t>
        </w:r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1-800-424-9300 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  <w:r w:rsidRPr="0077137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(Staffed 24/7)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 public service hotline for emergency responders. CHEMTREC® is part of the American Chemistry Council.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8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Federal Bureau of Investigation (FBI)</w:t>
        </w:r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1-202-324-3000 (Headquarters)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Contains resources for citizens and others to prepare for and respond to a terrorist event, including victim assistance, training, incident reporting, and understanding threat levels.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9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Federal Emergency Management Agency (FEMA</w:t>
        </w:r>
        <w:proofErr w:type="gramStart"/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)</w:t>
        </w:r>
        <w:proofErr w:type="gramEnd"/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1-800-621-FEMA 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Contains chemical emergency-related information for households and communities, including preparation, and what to during and after an emergency event.</w:t>
      </w:r>
    </w:p>
    <w:p w:rsidR="00771372" w:rsidRPr="00771372" w:rsidRDefault="00771372" w:rsidP="00771372">
      <w:pPr>
        <w:shd w:val="clear" w:color="auto" w:fill="D7EEFB"/>
        <w:spacing w:after="3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hyperlink r:id="rId10" w:history="1"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National Response Center (USCG</w:t>
        </w:r>
        <w:proofErr w:type="gramStart"/>
        <w:r w:rsidRPr="00771372">
          <w:rPr>
            <w:rFonts w:ascii="Verdana" w:eastAsia="Times New Roman" w:hAnsi="Verdana" w:cs="Times New Roman"/>
            <w:b/>
            <w:bCs/>
            <w:color w:val="8E388E"/>
            <w:sz w:val="19"/>
            <w:szCs w:val="19"/>
            <w:u w:val="single"/>
          </w:rPr>
          <w:t>)</w:t>
        </w:r>
        <w:proofErr w:type="gramEnd"/>
      </w:hyperlink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  <w:t>1-800-424-8802 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br/>
      </w:r>
      <w:r w:rsidRPr="00771372">
        <w:rPr>
          <w:rFonts w:ascii="Verdana" w:eastAsia="Times New Roman" w:hAnsi="Verdana" w:cs="Times New Roman"/>
          <w:b/>
          <w:bCs/>
          <w:color w:val="333333"/>
          <w:sz w:val="19"/>
          <w:szCs w:val="19"/>
        </w:rPr>
        <w:t>(Staffed 24/7)</w:t>
      </w: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 Federal point of contact for reporting oil and chemical spills; hotline for chemical &amp; biological weapons of mass destruction incidents.</w:t>
      </w:r>
    </w:p>
    <w:p w:rsidR="00771372" w:rsidRPr="00771372" w:rsidRDefault="00771372" w:rsidP="00771372">
      <w:pPr>
        <w:shd w:val="clear" w:color="auto" w:fill="D7EEFB"/>
        <w:spacing w:after="0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</w:p>
    <w:p w:rsidR="00771372" w:rsidRPr="00771372" w:rsidRDefault="00771372" w:rsidP="00771372">
      <w:pPr>
        <w:shd w:val="clear" w:color="auto" w:fill="D7EEFB"/>
        <w:spacing w:before="100" w:beforeAutospacing="1" w:after="100" w:afterAutospacing="1" w:line="360" w:lineRule="atLeast"/>
        <w:rPr>
          <w:rFonts w:ascii="Verdana" w:eastAsia="Times New Roman" w:hAnsi="Verdana" w:cs="Times New Roman"/>
          <w:color w:val="333333"/>
          <w:sz w:val="19"/>
          <w:szCs w:val="19"/>
        </w:rPr>
      </w:pPr>
      <w:r w:rsidRPr="00771372">
        <w:rPr>
          <w:rFonts w:ascii="Verdana" w:eastAsia="Times New Roman" w:hAnsi="Verdana" w:cs="Times New Roman"/>
          <w:color w:val="333333"/>
          <w:sz w:val="19"/>
          <w:szCs w:val="19"/>
        </w:rPr>
        <w:t>"Staffed 24/7" indicates constant availability of someone to talk with any day of the week and at any time of the day or night.</w:t>
      </w:r>
    </w:p>
    <w:p w:rsidR="00D659BC" w:rsidRDefault="00D659BC"/>
    <w:sectPr w:rsidR="00D659BC" w:rsidSect="007713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372"/>
    <w:rsid w:val="00683ACD"/>
    <w:rsid w:val="00771372"/>
    <w:rsid w:val="00D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F614"/>
  <w15:chartTrackingRefBased/>
  <w15:docId w15:val="{A4FFD4B6-7F66-4566-A850-03BFCBC2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13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713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3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7137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um">
    <w:name w:val="num"/>
    <w:basedOn w:val="DefaultParagraphFont"/>
    <w:rsid w:val="00771372"/>
  </w:style>
  <w:style w:type="paragraph" w:styleId="NormalWeb">
    <w:name w:val="Normal (Web)"/>
    <w:basedOn w:val="Normal"/>
    <w:uiPriority w:val="99"/>
    <w:semiHidden/>
    <w:unhideWhenUsed/>
    <w:rsid w:val="0077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713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800">
          <w:marLeft w:val="30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420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11152122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747192073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794567798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1415972095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647049037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  <w:div w:id="599993709">
                      <w:marLeft w:val="45"/>
                      <w:marRight w:val="0"/>
                      <w:marTop w:val="0"/>
                      <w:marBottom w:val="30"/>
                      <w:divBdr>
                        <w:top w:val="single" w:sz="2" w:space="0" w:color="000000"/>
                        <w:left w:val="single" w:sz="2" w:space="6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i.gov/investigate/w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mtrec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sdr.cdc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spca.org/pet-care/poison-control/" TargetMode="External"/><Relationship Id="rId10" Type="http://schemas.openxmlformats.org/officeDocument/2006/relationships/hyperlink" Target="http://www.nrc.uscg.mil/" TargetMode="External"/><Relationship Id="rId4" Type="http://schemas.openxmlformats.org/officeDocument/2006/relationships/hyperlink" Target="http://www.aapcc.org/" TargetMode="External"/><Relationship Id="rId9" Type="http://schemas.openxmlformats.org/officeDocument/2006/relationships/hyperlink" Target="http://www.fema.gov/contact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Carrus</dc:creator>
  <cp:keywords/>
  <dc:description/>
  <cp:lastModifiedBy>Joseph Carrus</cp:lastModifiedBy>
  <cp:revision>1</cp:revision>
  <dcterms:created xsi:type="dcterms:W3CDTF">2018-12-19T14:02:00Z</dcterms:created>
  <dcterms:modified xsi:type="dcterms:W3CDTF">2018-12-19T14:27:00Z</dcterms:modified>
</cp:coreProperties>
</file>